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33C88" w14:textId="77777777" w:rsidR="00B77209" w:rsidRDefault="00B77209">
      <w:pPr>
        <w:spacing w:line="576" w:lineRule="exact"/>
        <w:jc w:val="center"/>
        <w:rPr>
          <w:rFonts w:ascii="Times New Roman" w:eastAsia="等线" w:hAnsi="Times New Roman" w:cs="Times New Roman"/>
          <w:b/>
          <w:bCs/>
          <w:sz w:val="32"/>
          <w:szCs w:val="32"/>
        </w:rPr>
      </w:pPr>
    </w:p>
    <w:p w14:paraId="57B60DB0" w14:textId="77777777" w:rsidR="00B77209" w:rsidRDefault="00000000">
      <w:pPr>
        <w:spacing w:line="576" w:lineRule="exact"/>
        <w:jc w:val="center"/>
        <w:rPr>
          <w:rFonts w:ascii="Times New Roman" w:eastAsia="等线" w:hAnsi="Times New Roman" w:cs="Times New Roman"/>
          <w:b/>
          <w:bCs/>
          <w:sz w:val="32"/>
          <w:szCs w:val="32"/>
        </w:rPr>
      </w:pPr>
      <w:r>
        <w:rPr>
          <w:rFonts w:ascii="Times New Roman" w:eastAsia="等线" w:hAnsi="Times New Roman" w:cs="Times New Roman"/>
          <w:b/>
          <w:bCs/>
          <w:sz w:val="32"/>
          <w:szCs w:val="32"/>
        </w:rPr>
        <w:t>粮食和物资储备局</w:t>
      </w:r>
    </w:p>
    <w:p w14:paraId="7E38026F" w14:textId="77777777" w:rsidR="00B77209" w:rsidRDefault="00000000">
      <w:pPr>
        <w:spacing w:line="576" w:lineRule="exact"/>
        <w:jc w:val="center"/>
        <w:rPr>
          <w:rFonts w:ascii="Times New Roman" w:eastAsia="等线" w:hAnsi="Times New Roman" w:cs="Times New Roman"/>
          <w:b/>
          <w:bCs/>
          <w:sz w:val="32"/>
          <w:szCs w:val="32"/>
        </w:rPr>
      </w:pPr>
      <w:r>
        <w:rPr>
          <w:rFonts w:ascii="Times New Roman" w:eastAsia="等线" w:hAnsi="Times New Roman" w:cs="Times New Roman"/>
          <w:b/>
          <w:bCs/>
          <w:sz w:val="32"/>
          <w:szCs w:val="32"/>
        </w:rPr>
        <w:t>2022</w:t>
      </w:r>
      <w:r>
        <w:rPr>
          <w:rFonts w:ascii="Times New Roman" w:eastAsia="等线" w:hAnsi="Times New Roman" w:cs="Times New Roman"/>
          <w:b/>
          <w:bCs/>
          <w:sz w:val="32"/>
          <w:szCs w:val="32"/>
        </w:rPr>
        <w:t>年度部门整体支出</w:t>
      </w:r>
    </w:p>
    <w:p w14:paraId="45C252F0" w14:textId="77777777" w:rsidR="00B77209" w:rsidRDefault="00B77209">
      <w:pPr>
        <w:pStyle w:val="TOC1"/>
        <w:rPr>
          <w:rFonts w:ascii="Times New Roman" w:hAnsi="Times New Roman" w:cs="Times New Roman"/>
        </w:rPr>
      </w:pPr>
    </w:p>
    <w:p w14:paraId="4AF48958" w14:textId="77777777" w:rsidR="00B77209" w:rsidRDefault="00000000">
      <w:pPr>
        <w:spacing w:line="576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绩效评价报告摘要</w:t>
      </w:r>
    </w:p>
    <w:p w14:paraId="2245CBBD" w14:textId="77777777" w:rsidR="00B77209" w:rsidRDefault="00B77209">
      <w:pPr>
        <w:rPr>
          <w:rFonts w:ascii="Times New Roman" w:hAnsi="Times New Roman" w:cs="Times New Roman"/>
        </w:rPr>
      </w:pPr>
    </w:p>
    <w:p w14:paraId="6AA5D22C" w14:textId="77777777" w:rsidR="00B77209" w:rsidRDefault="00000000">
      <w:pPr>
        <w:spacing w:line="576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一、</w:t>
      </w:r>
      <w:r>
        <w:rPr>
          <w:rFonts w:ascii="Times New Roman" w:eastAsia="黑体" w:hAnsi="Times New Roman" w:cs="Times New Roman"/>
          <w:sz w:val="32"/>
          <w:szCs w:val="32"/>
        </w:rPr>
        <w:t xml:space="preserve">2022 </w:t>
      </w:r>
      <w:r>
        <w:rPr>
          <w:rFonts w:ascii="Times New Roman" w:eastAsia="黑体" w:hAnsi="Times New Roman" w:cs="Times New Roman"/>
          <w:sz w:val="32"/>
          <w:szCs w:val="32"/>
        </w:rPr>
        <w:t>年度部门整体资金投入及支出情况</w:t>
      </w:r>
    </w:p>
    <w:p w14:paraId="767CCAE2" w14:textId="77777777" w:rsidR="00B77209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2022</w:t>
      </w:r>
      <w:r>
        <w:rPr>
          <w:rFonts w:ascii="Times New Roman" w:eastAsia="仿宋_GB2312" w:hAnsi="Times New Roman" w:cs="Times New Roman"/>
          <w:sz w:val="32"/>
          <w:szCs w:val="32"/>
        </w:rPr>
        <w:t>年部门整体支出预算安排资金</w:t>
      </w:r>
      <w:r>
        <w:rPr>
          <w:rFonts w:ascii="Times New Roman" w:eastAsia="仿宋_GB2312" w:hAnsi="Times New Roman" w:cs="Times New Roman"/>
          <w:sz w:val="32"/>
          <w:szCs w:val="32"/>
        </w:rPr>
        <w:t>708.27</w:t>
      </w:r>
      <w:r>
        <w:rPr>
          <w:rFonts w:ascii="Times New Roman" w:eastAsia="仿宋_GB2312" w:hAnsi="Times New Roman" w:cs="Times New Roman"/>
          <w:sz w:val="32"/>
          <w:szCs w:val="32"/>
        </w:rPr>
        <w:t>万元。截至</w:t>
      </w:r>
      <w:r>
        <w:rPr>
          <w:rFonts w:ascii="Times New Roman" w:eastAsia="仿宋_GB2312" w:hAnsi="Times New Roman" w:cs="Times New Roman"/>
          <w:sz w:val="32"/>
          <w:szCs w:val="32"/>
        </w:rPr>
        <w:t>2022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12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31</w:t>
      </w:r>
      <w:r>
        <w:rPr>
          <w:rFonts w:ascii="Times New Roman" w:eastAsia="仿宋_GB2312" w:hAnsi="Times New Roman" w:cs="Times New Roman"/>
          <w:sz w:val="32"/>
          <w:szCs w:val="32"/>
        </w:rPr>
        <w:t>日，财政拨款收入</w:t>
      </w:r>
      <w:r>
        <w:rPr>
          <w:rFonts w:ascii="Times New Roman" w:eastAsia="仿宋_GB2312" w:hAnsi="Times New Roman" w:cs="Times New Roman"/>
          <w:sz w:val="32"/>
          <w:szCs w:val="32"/>
        </w:rPr>
        <w:t>1276.98</w:t>
      </w:r>
      <w:r>
        <w:rPr>
          <w:rFonts w:ascii="Times New Roman" w:eastAsia="仿宋_GB2312" w:hAnsi="Times New Roman" w:cs="Times New Roman"/>
          <w:sz w:val="32"/>
          <w:szCs w:val="32"/>
        </w:rPr>
        <w:t>万元，部门整体实际支出</w:t>
      </w:r>
      <w:r>
        <w:rPr>
          <w:rFonts w:ascii="Times New Roman" w:eastAsia="仿宋_GB2312" w:hAnsi="Times New Roman" w:cs="Times New Roman"/>
          <w:sz w:val="32"/>
          <w:szCs w:val="32"/>
        </w:rPr>
        <w:t>1276.98</w:t>
      </w:r>
      <w:r>
        <w:rPr>
          <w:rFonts w:ascii="Times New Roman" w:eastAsia="仿宋_GB2312" w:hAnsi="Times New Roman" w:cs="Times New Roman"/>
          <w:sz w:val="32"/>
          <w:szCs w:val="32"/>
        </w:rPr>
        <w:t>万元，执行率</w:t>
      </w:r>
      <w:r>
        <w:rPr>
          <w:rFonts w:ascii="Times New Roman" w:eastAsia="仿宋_GB2312" w:hAnsi="Times New Roman" w:cs="Times New Roman"/>
          <w:sz w:val="32"/>
          <w:szCs w:val="32"/>
        </w:rPr>
        <w:t>100%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2C802555" w14:textId="77777777" w:rsidR="00B77209" w:rsidRDefault="00000000">
      <w:pPr>
        <w:spacing w:line="576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二、评价结论</w:t>
      </w:r>
    </w:p>
    <w:p w14:paraId="4B24F0A4" w14:textId="77777777" w:rsidR="00B77209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经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评价组评价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，长春市九台区粮食和物资储备局部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门整体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支出绩效评价得分为</w:t>
      </w:r>
      <w:r>
        <w:rPr>
          <w:rFonts w:ascii="Times New Roman" w:eastAsia="仿宋_GB2312" w:hAnsi="Times New Roman" w:cs="Times New Roman"/>
          <w:sz w:val="32"/>
          <w:szCs w:val="32"/>
        </w:rPr>
        <w:t>83.5</w:t>
      </w:r>
      <w:r>
        <w:rPr>
          <w:rFonts w:ascii="Times New Roman" w:eastAsia="仿宋_GB2312" w:hAnsi="Times New Roman" w:cs="Times New Roman"/>
          <w:sz w:val="32"/>
          <w:szCs w:val="32"/>
        </w:rPr>
        <w:t>分，评价等级为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良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63309759" w14:textId="77777777" w:rsidR="00B77209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主要绩效有：一是开展乡村安全储粮行动，加大粮食收购政策宣传力度，做好粮食收购工作。二是加大市场监管力度，保护粮农经济利益。三是加强监督检查，落实安全隐患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百日攻坚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行动。四是积极应对，统筹做好疫情防控和应急物资保供工作。五是全力配合，深入推进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涉粮问题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专项整治。</w:t>
      </w:r>
    </w:p>
    <w:p w14:paraId="5A2B0E04" w14:textId="77777777" w:rsidR="00B77209" w:rsidRDefault="00000000">
      <w:pPr>
        <w:spacing w:line="576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三、存在问题及原因</w:t>
      </w:r>
    </w:p>
    <w:p w14:paraId="40C5A3BE" w14:textId="77777777" w:rsidR="00B77209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2022</w:t>
      </w:r>
      <w:r>
        <w:rPr>
          <w:rFonts w:ascii="Times New Roman" w:eastAsia="仿宋_GB2312" w:hAnsi="Times New Roman" w:cs="Times New Roman"/>
          <w:sz w:val="32"/>
          <w:szCs w:val="32"/>
        </w:rPr>
        <w:t>年度工作计划中，没有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明确部门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履职达成的责任主体；</w:t>
      </w: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、绩效目标的设定不够清晰、具体，未设定清晰、细化、可衡量的绩效指标，针对</w:t>
      </w:r>
      <w:r>
        <w:rPr>
          <w:rFonts w:ascii="Times New Roman" w:eastAsia="仿宋_GB2312" w:hAnsi="Times New Roman" w:cs="Times New Roman"/>
          <w:sz w:val="32"/>
          <w:szCs w:val="32"/>
        </w:rPr>
        <w:t>2022</w:t>
      </w:r>
      <w:r>
        <w:rPr>
          <w:rFonts w:ascii="Times New Roman" w:eastAsia="仿宋_GB2312" w:hAnsi="Times New Roman" w:cs="Times New Roman"/>
          <w:sz w:val="32"/>
          <w:szCs w:val="32"/>
        </w:rPr>
        <w:t>年度本部门的整体支出绩效目标，只设置了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应急物资清点库存通风晾晒次数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和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群众对应急物资储备政策的认知率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两项指标；</w:t>
      </w: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、预算编制不够科学合理，预算资金额度与年度目标不相适应。年中追</w:t>
      </w: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加项目资金较多。</w:t>
      </w:r>
      <w:r>
        <w:rPr>
          <w:rFonts w:ascii="Times New Roman" w:eastAsia="仿宋_GB2312" w:hAnsi="Times New Roman" w:cs="Times New Roman"/>
          <w:sz w:val="32"/>
          <w:szCs w:val="32"/>
        </w:rPr>
        <w:t>2022</w:t>
      </w:r>
      <w:r>
        <w:rPr>
          <w:rFonts w:ascii="Times New Roman" w:eastAsia="仿宋_GB2312" w:hAnsi="Times New Roman" w:cs="Times New Roman"/>
          <w:sz w:val="32"/>
          <w:szCs w:val="32"/>
        </w:rPr>
        <w:t>年部门预算支出</w:t>
      </w:r>
      <w:r>
        <w:rPr>
          <w:rFonts w:ascii="Times New Roman" w:eastAsia="仿宋_GB2312" w:hAnsi="Times New Roman" w:cs="Times New Roman"/>
          <w:sz w:val="32"/>
          <w:szCs w:val="32"/>
        </w:rPr>
        <w:t>708.27</w:t>
      </w:r>
      <w:r>
        <w:rPr>
          <w:rFonts w:ascii="Times New Roman" w:eastAsia="仿宋_GB2312" w:hAnsi="Times New Roman" w:cs="Times New Roman"/>
          <w:sz w:val="32"/>
          <w:szCs w:val="32"/>
        </w:rPr>
        <w:t>万元，</w:t>
      </w:r>
      <w:r>
        <w:rPr>
          <w:rFonts w:ascii="Times New Roman" w:eastAsia="仿宋_GB2312" w:hAnsi="Times New Roman" w:cs="Times New Roman"/>
          <w:sz w:val="32"/>
          <w:szCs w:val="32"/>
        </w:rPr>
        <w:t>2022</w:t>
      </w:r>
      <w:r>
        <w:rPr>
          <w:rFonts w:ascii="Times New Roman" w:eastAsia="仿宋_GB2312" w:hAnsi="Times New Roman" w:cs="Times New Roman"/>
          <w:sz w:val="32"/>
          <w:szCs w:val="32"/>
        </w:rPr>
        <w:t>年部门实际支出金额</w:t>
      </w:r>
      <w:r>
        <w:rPr>
          <w:rFonts w:ascii="Times New Roman" w:eastAsia="仿宋_GB2312" w:hAnsi="Times New Roman" w:cs="Times New Roman"/>
          <w:sz w:val="32"/>
          <w:szCs w:val="32"/>
        </w:rPr>
        <w:t>1278.98</w:t>
      </w:r>
      <w:r>
        <w:rPr>
          <w:rFonts w:ascii="Times New Roman" w:eastAsia="仿宋_GB2312" w:hAnsi="Times New Roman" w:cs="Times New Roman"/>
          <w:sz w:val="32"/>
          <w:szCs w:val="32"/>
        </w:rPr>
        <w:t>万元，造成预算调整率高，控制率低，稳定性差；</w:t>
      </w:r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、资金拨付的审批程序和手续不够完整；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、部门用以加强预算管理、规范财务行为的管理制度不够健全，未制定绩效跟踪管理办法；</w:t>
      </w:r>
      <w:r>
        <w:rPr>
          <w:rFonts w:ascii="Times New Roman" w:eastAsia="仿宋_GB2312" w:hAnsi="Times New Roman" w:cs="Times New Roman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sz w:val="32"/>
          <w:szCs w:val="32"/>
        </w:rPr>
        <w:t>、未建立部门绩效目标实现的长效机制。</w:t>
      </w:r>
    </w:p>
    <w:p w14:paraId="79278643" w14:textId="77777777" w:rsidR="00B77209" w:rsidRDefault="00000000">
      <w:pPr>
        <w:spacing w:line="576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四、有关建议</w:t>
      </w:r>
    </w:p>
    <w:p w14:paraId="7C56BB29" w14:textId="77777777" w:rsidR="00B77209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、科学合理编制预算、健全预算管理考核制度。</w:t>
      </w:r>
    </w:p>
    <w:p w14:paraId="265719CB" w14:textId="77777777" w:rsidR="00B77209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部门预算编制要经过科学论证、有明确标准，使资金额度与年度目标相适应。健全预算管理考核制度，制定绩效跟踪管理办法，充分发挥预算管理制度对完成部门职责的保障作用。</w:t>
      </w:r>
    </w:p>
    <w:p w14:paraId="76854AFF" w14:textId="77777777" w:rsidR="00B77209" w:rsidRDefault="00000000">
      <w:pPr>
        <w:numPr>
          <w:ilvl w:val="0"/>
          <w:numId w:val="1"/>
        </w:num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完善部门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整体支出绩效目标。将部门整体支出绩效目标细化分解为具体的绩效指标，通过清晰、可衡量的指标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值予以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体现；绩效指标要与部门年度工作任务数或计划数相对应。</w:t>
      </w:r>
    </w:p>
    <w:p w14:paraId="729B1910" w14:textId="77777777" w:rsidR="00B77209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、建立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健全部门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绩效目标实现的长效机制。一是要建立比较规范、稳定、配套的绩效目标实现制度体系；二是要有推动制度正常运行的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动力源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，即要成立积极推动和监督制度运行的组织。</w:t>
      </w:r>
    </w:p>
    <w:p w14:paraId="431D618A" w14:textId="77777777" w:rsidR="00B77209" w:rsidRDefault="00B77209">
      <w:pPr>
        <w:rPr>
          <w:rFonts w:ascii="Times New Roman" w:hAnsi="Times New Roman" w:cs="Times New Roman"/>
        </w:rPr>
      </w:pPr>
    </w:p>
    <w:sectPr w:rsidR="00B772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黑体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8B847"/>
    <w:multiLevelType w:val="singleLevel"/>
    <w:tmpl w:val="1398B847"/>
    <w:lvl w:ilvl="0">
      <w:start w:val="2"/>
      <w:numFmt w:val="decimal"/>
      <w:suff w:val="nothing"/>
      <w:lvlText w:val="%1、"/>
      <w:lvlJc w:val="left"/>
    </w:lvl>
  </w:abstractNum>
  <w:num w:numId="1" w16cid:durableId="1790466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c5NGY1ZWQzMjU1NjM3OTAwNzMxY2IwYzA2Y2YwMDIifQ=="/>
  </w:docVars>
  <w:rsids>
    <w:rsidRoot w:val="00B77209"/>
    <w:rsid w:val="003F6677"/>
    <w:rsid w:val="00B77209"/>
    <w:rsid w:val="0C892814"/>
    <w:rsid w:val="12AE4934"/>
    <w:rsid w:val="16FA6A59"/>
    <w:rsid w:val="1BF0282E"/>
    <w:rsid w:val="2E6E6427"/>
    <w:rsid w:val="306E4472"/>
    <w:rsid w:val="373F63C5"/>
    <w:rsid w:val="3C5D7D5C"/>
    <w:rsid w:val="523D57F0"/>
    <w:rsid w:val="583753A8"/>
    <w:rsid w:val="59554037"/>
    <w:rsid w:val="5E6A6E64"/>
    <w:rsid w:val="684352D5"/>
    <w:rsid w:val="7D1D2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465410"/>
  <w15:docId w15:val="{85ACD2AE-1782-4B7E-B679-1B939288A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TOC1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1">
    <w:name w:val="toc 1"/>
    <w:basedOn w:val="a"/>
    <w:next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珘 周</cp:lastModifiedBy>
  <cp:revision>2</cp:revision>
  <dcterms:created xsi:type="dcterms:W3CDTF">2023-10-18T06:07:00Z</dcterms:created>
  <dcterms:modified xsi:type="dcterms:W3CDTF">2023-10-18T06:07:00Z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19384C46E461429A8F48CADFE8CFA1F2_13</vt:lpwstr>
  </property>
</Properties>
</file>